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86511F" w:rsidRPr="0086511F" w14:paraId="2A362607" w14:textId="77777777" w:rsidTr="0086511F">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6614A80C" w14:textId="77777777" w:rsidR="0086511F" w:rsidRPr="0086511F" w:rsidRDefault="0086511F" w:rsidP="0086511F">
            <w:pPr>
              <w:jc w:val="both"/>
            </w:pPr>
            <w:r w:rsidRPr="0086511F">
              <w:t>25 Eylül 2024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417FCF04" w14:textId="77777777" w:rsidR="0086511F" w:rsidRPr="0086511F" w:rsidRDefault="0086511F" w:rsidP="0086511F">
            <w:r w:rsidRPr="0086511F">
              <w:rPr>
                <w:b/>
                <w:bCs/>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5F35B38E" w14:textId="77777777" w:rsidR="0086511F" w:rsidRPr="0086511F" w:rsidRDefault="0086511F" w:rsidP="0086511F">
            <w:pPr>
              <w:jc w:val="right"/>
            </w:pPr>
            <w:proofErr w:type="gramStart"/>
            <w:r w:rsidRPr="0086511F">
              <w:t>Sayı :</w:t>
            </w:r>
            <w:proofErr w:type="gramEnd"/>
            <w:r w:rsidRPr="0086511F">
              <w:t xml:space="preserve"> 32673</w:t>
            </w:r>
          </w:p>
        </w:tc>
      </w:tr>
      <w:tr w:rsidR="0086511F" w:rsidRPr="0086511F" w14:paraId="77B886F4" w14:textId="77777777" w:rsidTr="0086511F">
        <w:trPr>
          <w:trHeight w:val="480"/>
        </w:trPr>
        <w:tc>
          <w:tcPr>
            <w:tcW w:w="8789" w:type="dxa"/>
            <w:gridSpan w:val="3"/>
            <w:tcMar>
              <w:top w:w="0" w:type="dxa"/>
              <w:left w:w="108" w:type="dxa"/>
              <w:bottom w:w="0" w:type="dxa"/>
              <w:right w:w="108" w:type="dxa"/>
            </w:tcMar>
            <w:vAlign w:val="center"/>
            <w:hideMark/>
          </w:tcPr>
          <w:p w14:paraId="7A5DB368" w14:textId="77777777" w:rsidR="0086511F" w:rsidRPr="0086511F" w:rsidRDefault="0086511F" w:rsidP="0086511F">
            <w:pPr>
              <w:jc w:val="center"/>
            </w:pPr>
            <w:r w:rsidRPr="0086511F">
              <w:rPr>
                <w:b/>
                <w:bCs/>
              </w:rPr>
              <w:t>TEBLİĞ</w:t>
            </w:r>
          </w:p>
        </w:tc>
      </w:tr>
      <w:tr w:rsidR="0086511F" w:rsidRPr="0086511F" w14:paraId="5111E337" w14:textId="77777777" w:rsidTr="0086511F">
        <w:trPr>
          <w:trHeight w:val="480"/>
        </w:trPr>
        <w:tc>
          <w:tcPr>
            <w:tcW w:w="8789" w:type="dxa"/>
            <w:gridSpan w:val="3"/>
            <w:tcMar>
              <w:top w:w="0" w:type="dxa"/>
              <w:left w:w="108" w:type="dxa"/>
              <w:bottom w:w="0" w:type="dxa"/>
              <w:right w:w="108" w:type="dxa"/>
            </w:tcMar>
            <w:vAlign w:val="center"/>
            <w:hideMark/>
          </w:tcPr>
          <w:p w14:paraId="7D1E2750" w14:textId="77777777" w:rsidR="0086511F" w:rsidRPr="0086511F" w:rsidRDefault="0086511F" w:rsidP="0086511F">
            <w:pPr>
              <w:jc w:val="both"/>
              <w:rPr>
                <w:u w:val="single"/>
              </w:rPr>
            </w:pPr>
            <w:r w:rsidRPr="0086511F">
              <w:rPr>
                <w:u w:val="single"/>
              </w:rPr>
              <w:t>Hazine ve Maliye Bakanlığı (Gelir İdaresi Başkanlığı)’</w:t>
            </w:r>
            <w:proofErr w:type="spellStart"/>
            <w:r w:rsidRPr="0086511F">
              <w:rPr>
                <w:u w:val="single"/>
              </w:rPr>
              <w:t>ndan</w:t>
            </w:r>
            <w:proofErr w:type="spellEnd"/>
            <w:r w:rsidRPr="0086511F">
              <w:rPr>
                <w:u w:val="single"/>
              </w:rPr>
              <w:t>:</w:t>
            </w:r>
          </w:p>
          <w:p w14:paraId="08D71ED4" w14:textId="77777777" w:rsidR="0086511F" w:rsidRPr="0086511F" w:rsidRDefault="0086511F" w:rsidP="0086511F">
            <w:pPr>
              <w:jc w:val="center"/>
              <w:rPr>
                <w:b/>
                <w:bCs/>
              </w:rPr>
            </w:pPr>
            <w:r w:rsidRPr="0086511F">
              <w:rPr>
                <w:b/>
                <w:bCs/>
              </w:rPr>
              <w:t>VERGİ USUL KANUNU GENEL TEBLİĞİ (SIRA NO: 456)’NDE DEĞİŞİKLİK</w:t>
            </w:r>
          </w:p>
          <w:p w14:paraId="3FC65ABF" w14:textId="77777777" w:rsidR="0086511F" w:rsidRPr="0086511F" w:rsidRDefault="0086511F" w:rsidP="0086511F">
            <w:pPr>
              <w:jc w:val="center"/>
              <w:rPr>
                <w:b/>
                <w:bCs/>
              </w:rPr>
            </w:pPr>
            <w:r w:rsidRPr="0086511F">
              <w:rPr>
                <w:b/>
                <w:bCs/>
              </w:rPr>
              <w:t>YAPILMASINA DAİR TEBLİĞ (SIRA NO: 568)</w:t>
            </w:r>
          </w:p>
          <w:p w14:paraId="37941FEA" w14:textId="77777777" w:rsidR="0086511F" w:rsidRPr="0086511F" w:rsidRDefault="0086511F" w:rsidP="0086511F">
            <w:pPr>
              <w:jc w:val="both"/>
            </w:pPr>
            <w:r w:rsidRPr="0086511F">
              <w:rPr>
                <w:b/>
                <w:bCs/>
              </w:rPr>
              <w:t>MADDE 1- </w:t>
            </w:r>
            <w:r w:rsidRPr="0086511F">
              <w:t>27/8/2015 tarihli ve 29458 sayılı Resmî Gazete’de yayımlanan Vergi Usul Kanunu Genel Tebliği (Sıra No: 456)’nin “1. Giriş” başlıklı bölümünün ikinci ve üçüncü paragraflarında yer alan “Maliye” ibareleri “Hazine ve Maliye” şeklinde değiştirilmiştir.</w:t>
            </w:r>
          </w:p>
          <w:p w14:paraId="48991545" w14:textId="77777777" w:rsidR="0086511F" w:rsidRPr="0086511F" w:rsidRDefault="0086511F" w:rsidP="0086511F">
            <w:pPr>
              <w:jc w:val="both"/>
            </w:pPr>
            <w:r w:rsidRPr="0086511F">
              <w:rPr>
                <w:b/>
                <w:bCs/>
              </w:rPr>
              <w:t>MADDE 2- </w:t>
            </w:r>
            <w:r w:rsidRPr="0086511F">
              <w:t>Aynı Tebliğin “3. Tanımlar” başlıklı bölümünün birinci paragrafının (a) bendinde yer alan “Maliye” ibaresi “Hazine ve Maliye” şeklinde değiştirilmiş, (f) bendine “https://intvrg.gib.gov.tr” ibaresinden sonra gelmek üzere “, https://dijital.gib.gov.tr” ibaresi eklenmiş ve aynı bölüme aşağıdaki bent eklenmiştir.</w:t>
            </w:r>
          </w:p>
          <w:p w14:paraId="33D1D9EC" w14:textId="77777777" w:rsidR="0086511F" w:rsidRPr="0086511F" w:rsidRDefault="0086511F" w:rsidP="0086511F">
            <w:pPr>
              <w:jc w:val="both"/>
            </w:pPr>
            <w:r w:rsidRPr="0086511F">
              <w:t>“</w:t>
            </w:r>
            <w:proofErr w:type="gramStart"/>
            <w:r w:rsidRPr="0086511F">
              <w:t>j</w:t>
            </w:r>
            <w:proofErr w:type="gramEnd"/>
            <w:r w:rsidRPr="0086511F">
              <w:t>) Dijital Vergi Dairesi (Sistem): Başkanlığın görev tanımları içerisinde yer alan hizmetlerin sunulması veya kişilerin vergisel ödevlerini yerine getirmesi amacıyla şifre, elektronik imza veya diğer güvenlik araçları kullanılmak suretiyle erişim sağlanan internet adresi (dijital.gib.gov.tr) ve mobil uygulamalar üzerinde oluşturulan elektronik ortamı,”</w:t>
            </w:r>
          </w:p>
          <w:p w14:paraId="14A2151E" w14:textId="77777777" w:rsidR="0086511F" w:rsidRPr="0086511F" w:rsidRDefault="0086511F" w:rsidP="0086511F">
            <w:pPr>
              <w:jc w:val="both"/>
            </w:pPr>
            <w:r w:rsidRPr="0086511F">
              <w:rPr>
                <w:b/>
                <w:bCs/>
              </w:rPr>
              <w:t>MADDE 3- </w:t>
            </w:r>
            <w:r w:rsidRPr="0086511F">
              <w:t>Aynı Tebliğin “4. Elektronik Tebligat Yapılacak Kişiler” başlıklı bölümünün üçüncü paragrafına (b) bendinden sonra gelmek üzere aşağıdaki bent eklenmiş ve diğer bent buna göre teselsül ettirilmiştir.</w:t>
            </w:r>
          </w:p>
          <w:p w14:paraId="2910E655" w14:textId="77777777" w:rsidR="0086511F" w:rsidRPr="0086511F" w:rsidRDefault="0086511F" w:rsidP="0086511F">
            <w:pPr>
              <w:jc w:val="both"/>
            </w:pPr>
            <w:r w:rsidRPr="0086511F">
              <w:t>“</w:t>
            </w:r>
            <w:proofErr w:type="gramStart"/>
            <w:r w:rsidRPr="0086511F">
              <w:t>c</w:t>
            </w:r>
            <w:proofErr w:type="gramEnd"/>
            <w:r w:rsidRPr="0086511F">
              <w:t>) 6/6/2002 tarihli ve 4760 sayılı Özel Tüketim Vergisi Kanununa ekli (II) sayılı listedeki mallardan kayıt ve tescile tabi olanların ilk iktisabında adına kayıt ve tescil yapılan gerçek ve tüzel kişiler ile tüzel kişiliği olmayan teşekküller (5.3. numaralı bölümün altıncı paragrafında yer alanlar hariç)”</w:t>
            </w:r>
          </w:p>
          <w:p w14:paraId="08611AD5" w14:textId="77777777" w:rsidR="0086511F" w:rsidRPr="0086511F" w:rsidRDefault="0086511F" w:rsidP="0086511F">
            <w:pPr>
              <w:jc w:val="both"/>
            </w:pPr>
            <w:r w:rsidRPr="0086511F">
              <w:rPr>
                <w:b/>
                <w:bCs/>
              </w:rPr>
              <w:t>MADDE 4- </w:t>
            </w:r>
            <w:r w:rsidRPr="0086511F">
              <w:t>Aynı Tebliğin “5.2. Gelir Vergisi Mükelleflerinin Bildirimi ve Elektronik Tebligat Adresi Edinmesi” başlıklı bölümünün son paragrafında yer alan “bizzat veya” ibaresi “internet vergi dairesi aracılığıyla veya gelir vergisi yönünden bağlı oldukları vergi dairesine bizzat ya da” şeklinde ve “örneği Tebliğin ekinde (EK: 2) yer alan bildirimi doldurarak ilgili vergi dairesine vermek zorundadır.” ibaresi “başvurmak zorundadır.” şeklinde değiştirilmiştir.</w:t>
            </w:r>
          </w:p>
          <w:p w14:paraId="104F0997" w14:textId="77777777" w:rsidR="0086511F" w:rsidRPr="0086511F" w:rsidRDefault="0086511F" w:rsidP="0086511F">
            <w:pPr>
              <w:jc w:val="both"/>
            </w:pPr>
            <w:r w:rsidRPr="0086511F">
              <w:rPr>
                <w:b/>
                <w:bCs/>
              </w:rPr>
              <w:t>MADDE 5- </w:t>
            </w:r>
            <w:r w:rsidRPr="0086511F">
              <w:t>Aynı Tebliğe (5.2.) numaralı bölümünden sonra gelmek üzere aşağıdaki bölüm eklenmiş ve mevcut (5.3.) ile (5.4.) numaralı bölümler buna göre teselsül ettirilmiştir.</w:t>
            </w:r>
          </w:p>
          <w:p w14:paraId="432F9FC6" w14:textId="77777777" w:rsidR="0086511F" w:rsidRPr="0086511F" w:rsidRDefault="0086511F" w:rsidP="0086511F">
            <w:pPr>
              <w:jc w:val="both"/>
            </w:pPr>
            <w:r w:rsidRPr="0086511F">
              <w:rPr>
                <w:b/>
                <w:bCs/>
              </w:rPr>
              <w:lastRenderedPageBreak/>
              <w:t>“5.3. 4760 sayılı Kanuna Ekli (II) Sayılı Listedeki Mallardan Kayıt ve Tescile Tabi Olanların İlk İktisabında Adına Tescil Yapılan Gerçek ve Tüzel Kişiler ile Tüzel Kişiliği Olmayan Teşekküllerin Bildirimi ve Elektronik Tebligat Adresi Edinmesi</w:t>
            </w:r>
          </w:p>
          <w:p w14:paraId="1511586F" w14:textId="77777777" w:rsidR="0086511F" w:rsidRPr="0086511F" w:rsidRDefault="0086511F" w:rsidP="0086511F">
            <w:pPr>
              <w:jc w:val="both"/>
            </w:pPr>
            <w:r w:rsidRPr="0086511F">
              <w:t>4760 sayılı Kanuna ekli (II) sayılı listedeki mallardan kayıt ve tescile tabi olanların ilk iktisabında adına tescil yapılan gerçek kişiler ve tüzel kişiler ile tüzel kişiliği olmayan teşekküllerin, bu Tebliğin (4.) numaralı bölümü gereği elektronik tebligat adreslerinin bulunması zorunlu olduğundan elektronik tebligat adreslerinin bulunmaması durumunda bu bölümde açıklandığı şekilde elektronik tebligat adreslerini edinmeleri gerekmektedir.</w:t>
            </w:r>
          </w:p>
          <w:p w14:paraId="557A4435" w14:textId="77777777" w:rsidR="0086511F" w:rsidRPr="0086511F" w:rsidRDefault="0086511F" w:rsidP="0086511F">
            <w:pPr>
              <w:jc w:val="both"/>
            </w:pPr>
            <w:r w:rsidRPr="0086511F">
              <w:t>4760 sayılı Kanuna ekli (II) sayılı listedeki mallardan kayıt ve tescile tabi olanları iktisap eden tüzel kişiler ve tüzel kişiliği olmayan teşekküllerin, ilk iktisap ile ilgili işlemlerin tamamlanmasından önce, örneği bu Tebliğ ekinde yer alan “Elektronik Tebligat Talep Bildirimi (Şirketler ve Diğer Tüzel Kişiler İçin)”</w:t>
            </w:r>
            <w:proofErr w:type="spellStart"/>
            <w:r w:rsidRPr="0086511F">
              <w:t>ni</w:t>
            </w:r>
            <w:proofErr w:type="spellEnd"/>
            <w:r w:rsidRPr="0086511F">
              <w:t xml:space="preserve"> (EK:1) bu Tebliğin (5.1.) numaralı bölümünde açıklandığı şekilde kurumlar vergisi yönünden bağlı bulundukları vergi dairesine, kurumlar vergisi yönünden bağlı bulundukları bir vergi dairesi bulunmayanların ise katma değer vergisi veya gelir (stopaj) vergisi yönünden bağlı bulundukları vergi dairesine, bağlı bulunduğu bir vergi dairesi bulunmayanların ise merkez adreslerinin bulunduğu yerdeki yetkili vergi dairesine vermeleri gerekmektedir. Bu mükellefler, söz konusu bildirimi kanuni temsilcileri veya elektronik tebligat sistemi ile ilgili işlemleri yapmaya yönelik özel yetki içeren noterde verilmiş vekâletnameyle yetkili kılınan kişiler aracılığıyla bizzat teslim edeceklerdir.</w:t>
            </w:r>
          </w:p>
          <w:p w14:paraId="4E9793B3" w14:textId="77777777" w:rsidR="0086511F" w:rsidRPr="0086511F" w:rsidRDefault="0086511F" w:rsidP="0086511F">
            <w:pPr>
              <w:jc w:val="both"/>
            </w:pPr>
            <w:r w:rsidRPr="0086511F">
              <w:t>4760 sayılı Kanuna ekli (II) sayılı listedeki mallardan kayıt ve tescile tabi olanları iktisap eden gerçek kişilerin, ilk iktisap ile ilgili işlemlerin tamamlanmasından önce, bu Tebliğin (5.2.) numaralı bölümünde açıklandığı şekilde internet vergi dairesi aracılığıyla başvurarak veya gelir vergisi yönünden bağlı bulundukları vergi dairesine, bağlı bulundukları bir vergi dairesi bulunmayanların ise ikametgâhlarının bulunduğu yer vergi dairesine bizzat veya elektronik tebligat sistemi ile ilgili işlemleri yapmaya yönelik özel yetki içeren noterde verilmiş vekâletnameyle yetkili kılınan kişiler aracılığıyla başvuruda bulunarak sistemi kullanmaları mümkündür.</w:t>
            </w:r>
          </w:p>
          <w:p w14:paraId="280A09D4" w14:textId="77777777" w:rsidR="0086511F" w:rsidRPr="0086511F" w:rsidRDefault="0086511F" w:rsidP="0086511F">
            <w:pPr>
              <w:jc w:val="both"/>
            </w:pPr>
            <w:r w:rsidRPr="0086511F">
              <w:t>4760 sayılı Kanuna ekli (II) sayılı listedeki mallardan kayıt ve tescile tabi olanları iktisap eden kişilerin bu Tebliğ kapsamında elektronik tebligat adreslerinin olup olmadığı;</w:t>
            </w:r>
          </w:p>
          <w:p w14:paraId="2427CEA7" w14:textId="77777777" w:rsidR="0086511F" w:rsidRPr="0086511F" w:rsidRDefault="0086511F" w:rsidP="0086511F">
            <w:pPr>
              <w:jc w:val="both"/>
            </w:pPr>
            <w:r w:rsidRPr="0086511F">
              <w:t>a) (II) sayılı listedeki mallardan kayıt ve tescile tabi olanlara ait özel tüketim vergisi beyannamesinin elektronik ortamda verilmesi aşamasında,</w:t>
            </w:r>
          </w:p>
          <w:p w14:paraId="262F9ED5" w14:textId="77777777" w:rsidR="0086511F" w:rsidRPr="0086511F" w:rsidRDefault="0086511F" w:rsidP="0086511F">
            <w:pPr>
              <w:jc w:val="both"/>
            </w:pPr>
            <w:r w:rsidRPr="0086511F">
              <w:t>b) Müzayede yoluyla satışlarda (Katma değer vergisi mükellefiyeti bulunanlar hariç) özel tüketim vergisi beyannamesinin kâğıt ortamında düzenlenerek ilgili vergi dairesine beyanda bulunulması ve verginin ödenmesi aşamasında,</w:t>
            </w:r>
          </w:p>
          <w:p w14:paraId="0BED13C5" w14:textId="77777777" w:rsidR="0086511F" w:rsidRPr="0086511F" w:rsidRDefault="0086511F" w:rsidP="0086511F">
            <w:pPr>
              <w:jc w:val="both"/>
            </w:pPr>
            <w:r w:rsidRPr="0086511F">
              <w:t>Başkanlık tarafından kontrol edilecektir.</w:t>
            </w:r>
          </w:p>
          <w:p w14:paraId="211C1D7F" w14:textId="77777777" w:rsidR="0086511F" w:rsidRPr="0086511F" w:rsidRDefault="0086511F" w:rsidP="0086511F">
            <w:pPr>
              <w:jc w:val="both"/>
            </w:pPr>
            <w:r w:rsidRPr="0086511F">
              <w:t>4760 sayılı Kanuna ekli (II) sayılı listedeki mallardan kayıt ve tescile tabi olanların ithalatta vergilendirildiği durumlarda ise kayıt ve tescil işlemini yapanlar, kayıt ve tescil işleminden önce bu malları iktisap eden kişilerin bu Tebliğ kapsamında elektronik tebligat adreslerinin olup olmadığını Başkanlık sistemlerinden elektronik ortamda sorgulayacaklardır.</w:t>
            </w:r>
          </w:p>
          <w:p w14:paraId="4EA45C10" w14:textId="77777777" w:rsidR="0086511F" w:rsidRPr="0086511F" w:rsidRDefault="0086511F" w:rsidP="0086511F">
            <w:pPr>
              <w:jc w:val="both"/>
            </w:pPr>
            <w:r w:rsidRPr="0086511F">
              <w:t>Aşağıda belirtilen gerçek ve tüzel kişiler ile tüzel kişiliği olmayan teşekküller elektronik tebligat adresi edinmek zorunda değillerdir:</w:t>
            </w:r>
          </w:p>
          <w:p w14:paraId="126CC43B" w14:textId="77777777" w:rsidR="0086511F" w:rsidRPr="0086511F" w:rsidRDefault="0086511F" w:rsidP="0086511F">
            <w:pPr>
              <w:jc w:val="both"/>
            </w:pPr>
            <w:r w:rsidRPr="0086511F">
              <w:t xml:space="preserve">a) 10/12/2003 tarihli ve 5018 sayılı Kamu Malî Yönetimi ve Kontrol Kanununa ekli (I), (II), (III) ve (IV) sayılı cetvellerde yer alan kamu idareleri ile aynı Kanunun </w:t>
            </w:r>
            <w:proofErr w:type="gramStart"/>
            <w:r w:rsidRPr="0086511F">
              <w:t>3 üncü</w:t>
            </w:r>
            <w:proofErr w:type="gramEnd"/>
            <w:r w:rsidRPr="0086511F">
              <w:t xml:space="preserve"> maddesinin birinci fıkrasının (e) bendinde tanımlanan mahalli idareler.</w:t>
            </w:r>
          </w:p>
          <w:p w14:paraId="71B0CCEB" w14:textId="77777777" w:rsidR="0086511F" w:rsidRPr="0086511F" w:rsidRDefault="0086511F" w:rsidP="0086511F">
            <w:pPr>
              <w:jc w:val="both"/>
            </w:pPr>
            <w:r w:rsidRPr="0086511F">
              <w:t>b) Yabancı devletlerin Türkiye’deki diplomatik temsilcilikleri, konsoloslukları ve uluslararası anlaşmalarla vergi muafiyeti tanınan uluslararası kuruluşlar ve bunların diplomatik haklara sahip mensupları ile ev sahibi hükümet anlaşmaları veya ülkemizin taraf olduğu diğer anlaşmalar çerçevesinde Türkiye’deki uluslararası kuruluşlar ve bunların yönetici kadrolarında görev yapan Türkiye Cumhuriyeti vatandaşı olmayan mensupları.</w:t>
            </w:r>
          </w:p>
          <w:p w14:paraId="26B24A22" w14:textId="77777777" w:rsidR="0086511F" w:rsidRPr="0086511F" w:rsidRDefault="0086511F" w:rsidP="0086511F">
            <w:pPr>
              <w:jc w:val="both"/>
            </w:pPr>
            <w:r w:rsidRPr="0086511F">
              <w:t xml:space="preserve">c) Engellilik oranı </w:t>
            </w:r>
            <w:proofErr w:type="gramStart"/>
            <w:r w:rsidRPr="0086511F">
              <w:t>% 90</w:t>
            </w:r>
            <w:proofErr w:type="gramEnd"/>
            <w:r w:rsidRPr="0086511F">
              <w:t xml:space="preserve"> veya daha fazla olan malûl ve engelliler.</w:t>
            </w:r>
          </w:p>
          <w:p w14:paraId="20D2D072" w14:textId="77777777" w:rsidR="0086511F" w:rsidRPr="0086511F" w:rsidRDefault="0086511F" w:rsidP="0086511F">
            <w:pPr>
              <w:jc w:val="both"/>
            </w:pPr>
            <w:proofErr w:type="gramStart"/>
            <w:r w:rsidRPr="0086511F">
              <w:t>ç</w:t>
            </w:r>
            <w:proofErr w:type="gramEnd"/>
            <w:r w:rsidRPr="0086511F">
              <w:t>) 18 yaşını doldurmamış olanlar.”</w:t>
            </w:r>
          </w:p>
          <w:p w14:paraId="529373F0" w14:textId="77777777" w:rsidR="0086511F" w:rsidRPr="0086511F" w:rsidRDefault="0086511F" w:rsidP="0086511F">
            <w:pPr>
              <w:jc w:val="both"/>
            </w:pPr>
            <w:r w:rsidRPr="0086511F">
              <w:rPr>
                <w:b/>
                <w:bCs/>
              </w:rPr>
              <w:t>MADDE 6- </w:t>
            </w:r>
            <w:r w:rsidRPr="0086511F">
              <w:t>Aynı Tebliğin “9. Ceza Hükümleri” başlıklı bölümü aşağıdaki şekilde yeniden düzenlenmiştir.</w:t>
            </w:r>
          </w:p>
          <w:p w14:paraId="7DD3A5CF" w14:textId="77777777" w:rsidR="0086511F" w:rsidRPr="0086511F" w:rsidRDefault="0086511F" w:rsidP="0086511F">
            <w:pPr>
              <w:jc w:val="both"/>
            </w:pPr>
            <w:r w:rsidRPr="0086511F">
              <w:rPr>
                <w:b/>
                <w:bCs/>
              </w:rPr>
              <w:t>“9. Ceza Hükümleri</w:t>
            </w:r>
          </w:p>
          <w:p w14:paraId="3B8CFE6B" w14:textId="77777777" w:rsidR="0086511F" w:rsidRPr="0086511F" w:rsidRDefault="0086511F" w:rsidP="0086511F">
            <w:pPr>
              <w:jc w:val="both"/>
            </w:pPr>
            <w:r w:rsidRPr="0086511F">
              <w:t>Elektronik tebligat sistemine dahil olması zorunlu olanlardan bu Tebliğ ile getirilen yükümlülüklere uymayan mükellefler hakkında 213 sayılı Kanunun ilgili ceza hükümleri tatbik olunur.”</w:t>
            </w:r>
          </w:p>
          <w:p w14:paraId="2B093167" w14:textId="77777777" w:rsidR="0086511F" w:rsidRPr="0086511F" w:rsidRDefault="0086511F" w:rsidP="0086511F">
            <w:pPr>
              <w:jc w:val="both"/>
            </w:pPr>
            <w:r w:rsidRPr="0086511F">
              <w:rPr>
                <w:b/>
                <w:bCs/>
              </w:rPr>
              <w:t>MADDE 7- </w:t>
            </w:r>
            <w:r w:rsidRPr="0086511F">
              <w:t>Aynı Tebliğin “10. Diğer Hususlar” başlıklı bölümüne aşağıdaki paragraf eklenmiştir.</w:t>
            </w:r>
          </w:p>
          <w:p w14:paraId="1AB910CA" w14:textId="77777777" w:rsidR="0086511F" w:rsidRPr="0086511F" w:rsidRDefault="0086511F" w:rsidP="0086511F">
            <w:pPr>
              <w:jc w:val="both"/>
            </w:pPr>
            <w:r w:rsidRPr="0086511F">
              <w:t>“Başkanlık tarafından elektronik ortamda sunulan hizmetlerin tek çatı altında birleştirilerek kişilerin tüm uygulamalara kolay, hızlı ve güvenli bir şekilde erişim sağlaması, beyanname, bildirim, yazı, dilekçe, tutanak, rapor ve diğer belgelerin elektronik ortamda verilebilmesi ve bu belgelere ilişkin yapılan işlemlerin sonuçlarının ilgililerine elektronik ortamda sunulması ile mükelleflerin vergilendirmeye ilişkin ödevlerini yerine getirirken hizmet alma süreçlerinde günümüz bilişim teknolojilerinin getirdiği imkânlardan daha fazla yararlanması amacıyla geliştirilen Dijital Vergi Dairesi uygulamasına ilişkin usul ve esaslar 7/10/2023 tarihli ve 32332 sayılı Resmî Gazete’de yayımlanan Vergi Usul Kanunu Genel Tebliği (Sıra No: 552)’</w:t>
            </w:r>
            <w:proofErr w:type="spellStart"/>
            <w:r w:rsidRPr="0086511F">
              <w:t>nde</w:t>
            </w:r>
            <w:proofErr w:type="spellEnd"/>
            <w:r w:rsidRPr="0086511F">
              <w:t xml:space="preserve"> belirlenmiş ve anılan Tebliğin 8 inci maddesinin ikinci fıkrasında İnteraktif Vergi Dairesi ve İnternet Vergi Dairesi gibi uygulamalar üzerinden sunulan hizmetlerin belli bir plan dâhilinde Dijital Vergi Dairesine aktarılarak bu Sistem üzerinden sunulacağı ifade edilmiştir. Bu kapsamda, bu Tebliğde İnternet Vergi Dairesine yapılan atıflar, ilgili hizmetlerin Dijital Vergi Dairesi üzerinden verilmeye başlandığı tarihten itibaren Dijital Vergi Dairesine yapılmış sayılır.”</w:t>
            </w:r>
          </w:p>
          <w:p w14:paraId="48C5DD17" w14:textId="77777777" w:rsidR="0086511F" w:rsidRPr="0086511F" w:rsidRDefault="0086511F" w:rsidP="0086511F">
            <w:pPr>
              <w:jc w:val="both"/>
            </w:pPr>
            <w:r w:rsidRPr="0086511F">
              <w:rPr>
                <w:b/>
                <w:bCs/>
              </w:rPr>
              <w:t>MADDE 8- </w:t>
            </w:r>
            <w:r w:rsidRPr="0086511F">
              <w:t>Aynı Tebliğin (12.) numaralı bölümünde yer alan “Maliye” ibaresi “Hazine ve Maliye” şeklinde değiştirilmiştir.</w:t>
            </w:r>
          </w:p>
          <w:p w14:paraId="69BF8EAC" w14:textId="77777777" w:rsidR="0086511F" w:rsidRPr="0086511F" w:rsidRDefault="0086511F" w:rsidP="0086511F">
            <w:pPr>
              <w:jc w:val="both"/>
            </w:pPr>
            <w:r w:rsidRPr="0086511F">
              <w:rPr>
                <w:b/>
                <w:bCs/>
              </w:rPr>
              <w:t>MADDE 9- </w:t>
            </w:r>
            <w:r w:rsidRPr="0086511F">
              <w:t>Bu Tebliğin;</w:t>
            </w:r>
          </w:p>
          <w:p w14:paraId="74D15C16" w14:textId="77777777" w:rsidR="0086511F" w:rsidRPr="0086511F" w:rsidRDefault="0086511F" w:rsidP="0086511F">
            <w:pPr>
              <w:jc w:val="both"/>
            </w:pPr>
            <w:r w:rsidRPr="0086511F">
              <w:t xml:space="preserve">a) </w:t>
            </w:r>
            <w:proofErr w:type="gramStart"/>
            <w:r w:rsidRPr="0086511F">
              <w:t>3 üncü</w:t>
            </w:r>
            <w:proofErr w:type="gramEnd"/>
            <w:r w:rsidRPr="0086511F">
              <w:t xml:space="preserve"> ve 5 inci maddeleri 1/1/2025 tarihinde,</w:t>
            </w:r>
          </w:p>
          <w:p w14:paraId="1EC69EA5" w14:textId="77777777" w:rsidR="0086511F" w:rsidRPr="0086511F" w:rsidRDefault="0086511F" w:rsidP="0086511F">
            <w:pPr>
              <w:jc w:val="both"/>
            </w:pPr>
            <w:r w:rsidRPr="0086511F">
              <w:t>b) Diğer maddeleri yayımı tarihinde,</w:t>
            </w:r>
          </w:p>
          <w:p w14:paraId="44C0F416" w14:textId="77777777" w:rsidR="0086511F" w:rsidRPr="0086511F" w:rsidRDefault="0086511F" w:rsidP="0086511F">
            <w:pPr>
              <w:jc w:val="both"/>
            </w:pPr>
            <w:proofErr w:type="gramStart"/>
            <w:r w:rsidRPr="0086511F">
              <w:t>yürürlüğe</w:t>
            </w:r>
            <w:proofErr w:type="gramEnd"/>
            <w:r w:rsidRPr="0086511F">
              <w:t xml:space="preserve"> girer.</w:t>
            </w:r>
          </w:p>
          <w:p w14:paraId="3960C928" w14:textId="77777777" w:rsidR="0086511F" w:rsidRPr="0086511F" w:rsidRDefault="0086511F" w:rsidP="0086511F">
            <w:pPr>
              <w:jc w:val="both"/>
            </w:pPr>
            <w:r w:rsidRPr="0086511F">
              <w:rPr>
                <w:b/>
                <w:bCs/>
              </w:rPr>
              <w:t>MADDE 10- </w:t>
            </w:r>
            <w:r w:rsidRPr="0086511F">
              <w:t>Bu Tebliğ hükümlerini Hazine ve Maliye Bakanı yürütür.</w:t>
            </w:r>
          </w:p>
        </w:tc>
      </w:tr>
    </w:tbl>
    <w:p w14:paraId="6CDEC285" w14:textId="77777777" w:rsidR="00F40434" w:rsidRDefault="00F40434"/>
    <w:sectPr w:rsidR="00F404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1F"/>
    <w:rsid w:val="00192FAC"/>
    <w:rsid w:val="005F324D"/>
    <w:rsid w:val="00630319"/>
    <w:rsid w:val="0068156B"/>
    <w:rsid w:val="0086511F"/>
    <w:rsid w:val="00DA460E"/>
    <w:rsid w:val="00F4043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CA34F"/>
  <w15:chartTrackingRefBased/>
  <w15:docId w15:val="{9ECCA14C-3EAA-4053-8E79-28E0B1FA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651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651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6511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6511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6511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6511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6511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6511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6511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6511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6511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6511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6511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6511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6511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6511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6511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6511F"/>
    <w:rPr>
      <w:rFonts w:eastAsiaTheme="majorEastAsia" w:cstheme="majorBidi"/>
      <w:color w:val="272727" w:themeColor="text1" w:themeTint="D8"/>
    </w:rPr>
  </w:style>
  <w:style w:type="paragraph" w:styleId="KonuBal">
    <w:name w:val="Title"/>
    <w:basedOn w:val="Normal"/>
    <w:next w:val="Normal"/>
    <w:link w:val="KonuBalChar"/>
    <w:uiPriority w:val="10"/>
    <w:qFormat/>
    <w:rsid w:val="008651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6511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6511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6511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6511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6511F"/>
    <w:rPr>
      <w:i/>
      <w:iCs/>
      <w:color w:val="404040" w:themeColor="text1" w:themeTint="BF"/>
    </w:rPr>
  </w:style>
  <w:style w:type="paragraph" w:styleId="ListeParagraf">
    <w:name w:val="List Paragraph"/>
    <w:basedOn w:val="Normal"/>
    <w:uiPriority w:val="34"/>
    <w:qFormat/>
    <w:rsid w:val="0086511F"/>
    <w:pPr>
      <w:ind w:left="720"/>
      <w:contextualSpacing/>
    </w:pPr>
  </w:style>
  <w:style w:type="character" w:styleId="GlVurgulama">
    <w:name w:val="Intense Emphasis"/>
    <w:basedOn w:val="VarsaylanParagrafYazTipi"/>
    <w:uiPriority w:val="21"/>
    <w:qFormat/>
    <w:rsid w:val="0086511F"/>
    <w:rPr>
      <w:i/>
      <w:iCs/>
      <w:color w:val="0F4761" w:themeColor="accent1" w:themeShade="BF"/>
    </w:rPr>
  </w:style>
  <w:style w:type="paragraph" w:styleId="GlAlnt">
    <w:name w:val="Intense Quote"/>
    <w:basedOn w:val="Normal"/>
    <w:next w:val="Normal"/>
    <w:link w:val="GlAlntChar"/>
    <w:uiPriority w:val="30"/>
    <w:qFormat/>
    <w:rsid w:val="008651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6511F"/>
    <w:rPr>
      <w:i/>
      <w:iCs/>
      <w:color w:val="0F4761" w:themeColor="accent1" w:themeShade="BF"/>
    </w:rPr>
  </w:style>
  <w:style w:type="character" w:styleId="GlBavuru">
    <w:name w:val="Intense Reference"/>
    <w:basedOn w:val="VarsaylanParagrafYazTipi"/>
    <w:uiPriority w:val="32"/>
    <w:qFormat/>
    <w:rsid w:val="008651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153683">
      <w:bodyDiv w:val="1"/>
      <w:marLeft w:val="0"/>
      <w:marRight w:val="0"/>
      <w:marTop w:val="0"/>
      <w:marBottom w:val="0"/>
      <w:divBdr>
        <w:top w:val="none" w:sz="0" w:space="0" w:color="auto"/>
        <w:left w:val="none" w:sz="0" w:space="0" w:color="auto"/>
        <w:bottom w:val="none" w:sz="0" w:space="0" w:color="auto"/>
        <w:right w:val="none" w:sz="0" w:space="0" w:color="auto"/>
      </w:divBdr>
    </w:div>
    <w:div w:id="181718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1265</Words>
  <Characters>7215</Characters>
  <Application>Microsoft Office Word</Application>
  <DocSecurity>0</DocSecurity>
  <Lines>60</Lines>
  <Paragraphs>16</Paragraphs>
  <ScaleCrop>false</ScaleCrop>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 Uzun</dc:creator>
  <cp:keywords/>
  <dc:description/>
  <cp:lastModifiedBy>ceyda erbaş</cp:lastModifiedBy>
  <cp:revision>2</cp:revision>
  <dcterms:created xsi:type="dcterms:W3CDTF">2024-09-25T11:08:00Z</dcterms:created>
  <dcterms:modified xsi:type="dcterms:W3CDTF">2024-09-25T11:08:00Z</dcterms:modified>
</cp:coreProperties>
</file>